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38B65F46" w14:textId="3EF57AFD" w:rsidR="007D5CC3" w:rsidRPr="00981394" w:rsidRDefault="007D5CC3" w:rsidP="00981394">
      <w:pPr>
        <w:spacing w:after="120" w:line="276" w:lineRule="auto"/>
        <w:jc w:val="center"/>
        <w:rPr>
          <w:rFonts w:ascii="Arial" w:hAnsi="Arial" w:cs="Arial"/>
          <w:b/>
          <w:bCs/>
          <w:sz w:val="20"/>
          <w:szCs w:val="22"/>
        </w:rPr>
      </w:pPr>
      <w:r w:rsidRPr="00981394">
        <w:rPr>
          <w:rFonts w:ascii="Arial" w:hAnsi="Arial" w:cs="Arial"/>
          <w:b/>
          <w:bCs/>
          <w:sz w:val="20"/>
          <w:szCs w:val="22"/>
        </w:rPr>
        <w:t>BULLET RESISTANT 3</w:t>
      </w:r>
      <w:r w:rsidR="00E51941" w:rsidRPr="00981394">
        <w:rPr>
          <w:rFonts w:ascii="Arial" w:hAnsi="Arial" w:cs="Arial"/>
          <w:b/>
          <w:bCs/>
          <w:sz w:val="20"/>
          <w:szCs w:val="22"/>
        </w:rPr>
        <w:t>-</w:t>
      </w:r>
      <w:r w:rsidRPr="00981394">
        <w:rPr>
          <w:rFonts w:ascii="Arial" w:hAnsi="Arial" w:cs="Arial"/>
          <w:b/>
          <w:bCs/>
          <w:sz w:val="20"/>
          <w:szCs w:val="22"/>
        </w:rPr>
        <w:t>SIDED TRANSACTION WINDOW</w:t>
      </w:r>
      <w:r w:rsidR="00E51941" w:rsidRPr="00981394">
        <w:rPr>
          <w:rFonts w:ascii="Arial" w:hAnsi="Arial" w:cs="Arial"/>
          <w:b/>
          <w:bCs/>
          <w:sz w:val="20"/>
          <w:szCs w:val="22"/>
        </w:rPr>
        <w:br/>
      </w:r>
      <w:r w:rsidR="004D5C43" w:rsidRPr="00981394">
        <w:rPr>
          <w:rFonts w:ascii="Arial" w:hAnsi="Arial" w:cs="Arial"/>
          <w:b/>
          <w:sz w:val="20"/>
          <w:szCs w:val="22"/>
        </w:rPr>
        <w:t xml:space="preserve">WITH </w:t>
      </w:r>
      <w:r w:rsidR="001F2A57" w:rsidRPr="00981394">
        <w:rPr>
          <w:rFonts w:ascii="Arial" w:hAnsi="Arial" w:cs="Arial"/>
          <w:b/>
          <w:sz w:val="20"/>
          <w:szCs w:val="22"/>
        </w:rPr>
        <w:t>STEEL</w:t>
      </w:r>
      <w:r w:rsidR="004D5C43" w:rsidRPr="00981394">
        <w:rPr>
          <w:rFonts w:ascii="Arial" w:hAnsi="Arial" w:cs="Arial"/>
          <w:b/>
          <w:sz w:val="20"/>
          <w:szCs w:val="22"/>
        </w:rPr>
        <w:t xml:space="preserve"> FRAME A</w:t>
      </w:r>
      <w:r w:rsidR="00D628DD" w:rsidRPr="00981394">
        <w:rPr>
          <w:rFonts w:ascii="Arial" w:hAnsi="Arial" w:cs="Arial"/>
          <w:b/>
          <w:sz w:val="20"/>
          <w:szCs w:val="22"/>
        </w:rPr>
        <w:t>ND</w:t>
      </w:r>
      <w:r w:rsidR="004D5C43" w:rsidRPr="00981394">
        <w:rPr>
          <w:rFonts w:ascii="Arial" w:hAnsi="Arial" w:cs="Arial"/>
          <w:b/>
          <w:sz w:val="20"/>
          <w:szCs w:val="22"/>
        </w:rPr>
        <w:t xml:space="preserve"> </w:t>
      </w:r>
      <w:r w:rsidR="00BD06C0" w:rsidRPr="00981394">
        <w:rPr>
          <w:rFonts w:ascii="Arial" w:hAnsi="Arial" w:cs="Arial"/>
          <w:b/>
          <w:sz w:val="20"/>
          <w:szCs w:val="22"/>
        </w:rPr>
        <w:t xml:space="preserve">ARCHED </w:t>
      </w:r>
      <w:r w:rsidR="004D5C43" w:rsidRPr="00981394">
        <w:rPr>
          <w:rFonts w:ascii="Arial" w:hAnsi="Arial" w:cs="Arial"/>
          <w:b/>
          <w:sz w:val="20"/>
          <w:szCs w:val="22"/>
        </w:rPr>
        <w:t>VOICE PORT</w:t>
      </w:r>
    </w:p>
    <w:p w14:paraId="4771C105" w14:textId="77777777" w:rsidR="007D5CC3" w:rsidRPr="00981394" w:rsidRDefault="004D5C43" w:rsidP="00981394">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BD06C0" w:rsidRPr="00981394">
        <w:rPr>
          <w:rFonts w:ascii="Arial" w:hAnsi="Arial" w:cs="Arial"/>
          <w:b/>
          <w:bCs/>
          <w:sz w:val="20"/>
          <w:szCs w:val="22"/>
        </w:rPr>
        <w:t>A</w:t>
      </w:r>
      <w:r w:rsidR="00D628DD" w:rsidRPr="00981394">
        <w:rPr>
          <w:rFonts w:ascii="Arial" w:hAnsi="Arial" w:cs="Arial"/>
          <w:b/>
          <w:bCs/>
          <w:sz w:val="20"/>
          <w:szCs w:val="22"/>
        </w:rPr>
        <w:t>V</w:t>
      </w:r>
      <w:r w:rsidRPr="00981394">
        <w:rPr>
          <w:rFonts w:ascii="Arial" w:hAnsi="Arial" w:cs="Arial"/>
          <w:b/>
          <w:bCs/>
          <w:sz w:val="20"/>
          <w:szCs w:val="22"/>
        </w:rPr>
        <w:t>P</w:t>
      </w:r>
      <w:r w:rsidR="001F2A57" w:rsidRPr="00981394">
        <w:rPr>
          <w:rFonts w:ascii="Arial" w:hAnsi="Arial" w:cs="Arial"/>
          <w:b/>
          <w:bCs/>
          <w:sz w:val="20"/>
          <w:szCs w:val="22"/>
        </w:rPr>
        <w:t>-ST</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6C7DC0AD" w14:textId="62698F7E" w:rsidR="007D5CC3" w:rsidRDefault="007D5CC3" w:rsidP="00D51C6E">
      <w:pPr>
        <w:tabs>
          <w:tab w:val="left" w:pos="1260"/>
        </w:tabs>
        <w:spacing w:line="276" w:lineRule="auto"/>
        <w:ind w:left="1260"/>
        <w:jc w:val="both"/>
        <w:rPr>
          <w:rFonts w:ascii="Arial" w:hAnsi="Arial" w:cs="Arial"/>
          <w:sz w:val="20"/>
          <w:szCs w:val="22"/>
        </w:rPr>
      </w:pPr>
      <w:r w:rsidRPr="00D51C6E">
        <w:rPr>
          <w:rFonts w:ascii="Arial" w:hAnsi="Arial" w:cs="Arial"/>
          <w:sz w:val="20"/>
          <w:szCs w:val="22"/>
        </w:rPr>
        <w:t xml:space="preserve">The publications below form a part of this specification.  Underwriters Laboratory UL-752 </w:t>
      </w:r>
      <w:r w:rsidR="004322B3" w:rsidRPr="00D51C6E">
        <w:rPr>
          <w:rFonts w:ascii="Arial" w:hAnsi="Arial" w:cs="Arial"/>
          <w:sz w:val="20"/>
          <w:szCs w:val="22"/>
        </w:rPr>
        <w:t>11</w:t>
      </w:r>
      <w:r w:rsidRPr="00D51C6E">
        <w:rPr>
          <w:rFonts w:ascii="Arial" w:hAnsi="Arial" w:cs="Arial"/>
          <w:sz w:val="20"/>
          <w:szCs w:val="22"/>
          <w:vertAlign w:val="superscript"/>
        </w:rPr>
        <w:t>th</w:t>
      </w:r>
      <w:r w:rsidRPr="00D51C6E">
        <w:rPr>
          <w:rFonts w:ascii="Arial" w:hAnsi="Arial" w:cs="Arial"/>
          <w:sz w:val="20"/>
          <w:szCs w:val="22"/>
        </w:rPr>
        <w:t xml:space="preserve"> edition, standard for Bullet Resistant Equipment (</w:t>
      </w:r>
      <w:r w:rsidR="004322B3" w:rsidRPr="00D51C6E">
        <w:rPr>
          <w:rFonts w:ascii="Arial" w:hAnsi="Arial" w:cs="Arial"/>
          <w:sz w:val="20"/>
          <w:szCs w:val="22"/>
        </w:rPr>
        <w:t>September 9, 2005</w:t>
      </w:r>
      <w:r w:rsidRPr="00D51C6E">
        <w:rPr>
          <w:rFonts w:ascii="Arial" w:hAnsi="Arial" w:cs="Arial"/>
          <w:sz w:val="20"/>
          <w:szCs w:val="22"/>
        </w:rPr>
        <w:t>).</w:t>
      </w:r>
    </w:p>
    <w:p w14:paraId="06B2CDC9" w14:textId="77777777" w:rsidR="00D51C6E" w:rsidRPr="00D51C6E" w:rsidRDefault="00D51C6E" w:rsidP="00D51C6E">
      <w:pPr>
        <w:tabs>
          <w:tab w:val="left" w:pos="1260"/>
        </w:tabs>
        <w:spacing w:line="276" w:lineRule="auto"/>
        <w:ind w:left="1260"/>
        <w:jc w:val="both"/>
        <w:rPr>
          <w:rFonts w:ascii="Arial" w:hAnsi="Arial" w:cs="Arial"/>
          <w:sz w:val="20"/>
          <w:szCs w:val="22"/>
        </w:rPr>
      </w:pP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02D734C1" w14:textId="03C68AB8"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p>
    <w:p w14:paraId="72C461DF"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0C60CA41" w14:textId="72EBAE95" w:rsidR="001F2A57"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Through design, manufacturing and construction technique so that frame can be rated by the manufacturer to be “non-ricochet type” and “non-pop out type”, which holds the glazing in place.  </w:t>
      </w:r>
    </w:p>
    <w:p w14:paraId="56956CA9"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2F74B0DB"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The transaction windows </w:t>
      </w:r>
      <w:proofErr w:type="gramStart"/>
      <w:r w:rsidRPr="00981394">
        <w:rPr>
          <w:rFonts w:ascii="Arial" w:hAnsi="Arial" w:cs="Arial"/>
          <w:sz w:val="20"/>
          <w:szCs w:val="22"/>
        </w:rPr>
        <w:t>to</w:t>
      </w:r>
      <w:proofErr w:type="gramEnd"/>
      <w:r w:rsidRPr="00981394">
        <w:rPr>
          <w:rFonts w:ascii="Arial" w:hAnsi="Arial" w:cs="Arial"/>
          <w:sz w:val="20"/>
          <w:szCs w:val="22"/>
        </w:rPr>
        <w:t xml:space="preserve"> be manufactured as indicated on the approved drawings by Bullet Guard Corporation, West Sacramento, CA.  1-800-233-5632. </w:t>
      </w:r>
      <w:hyperlink r:id="rId7" w:history="1">
        <w:r w:rsidRPr="00981394">
          <w:rPr>
            <w:rStyle w:val="Hyperlink"/>
            <w:rFonts w:ascii="Arial" w:hAnsi="Arial" w:cs="Arial"/>
            <w:sz w:val="20"/>
            <w:szCs w:val="22"/>
          </w:rPr>
          <w:t>www.bulletguard.com</w:t>
        </w:r>
      </w:hyperlink>
      <w:r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3736783A" w14:textId="7A9AE11D" w:rsidR="001F2A57" w:rsidRPr="00981394" w:rsidRDefault="001F2A57"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Frames to be three sided and made of 12 ga. steel, and shall be rated by the manufacturer to be “NON-RICOCHET”, which captures the bullet and retains it in the frame. Frames can be the “C Shaped slip In type” which mounts into a finished opening or the “Telescoping type” which wraps the opening and fits any wall thickness. Frames are to be lined with UL-752 listed Architectural Armor manufactured by Bullet Guard Corporation the same level as the specified glazing. The frames will have powder coat primed finish. Other optional powder coat colors </w:t>
      </w:r>
      <w:r w:rsidR="00E51941" w:rsidRPr="00981394">
        <w:rPr>
          <w:rFonts w:ascii="Arial" w:hAnsi="Arial" w:cs="Arial"/>
          <w:sz w:val="20"/>
          <w:szCs w:val="22"/>
        </w:rPr>
        <w:t>are available</w:t>
      </w:r>
      <w:r w:rsidRPr="00981394">
        <w:rPr>
          <w:rFonts w:ascii="Arial" w:hAnsi="Arial" w:cs="Arial"/>
          <w:sz w:val="20"/>
          <w:szCs w:val="22"/>
        </w:rPr>
        <w:t xml:space="preserve">. Frames can be substituted for 14 ga. </w:t>
      </w:r>
      <w:r w:rsidR="00E51941" w:rsidRPr="00981394">
        <w:rPr>
          <w:rFonts w:ascii="Arial" w:hAnsi="Arial" w:cs="Arial"/>
          <w:sz w:val="20"/>
          <w:szCs w:val="22"/>
        </w:rPr>
        <w:t>Stainless</w:t>
      </w:r>
      <w:r w:rsidRPr="00981394">
        <w:rPr>
          <w:rFonts w:ascii="Arial" w:hAnsi="Arial" w:cs="Arial"/>
          <w:sz w:val="20"/>
          <w:szCs w:val="22"/>
        </w:rPr>
        <w:t xml:space="preserve"> steel with #4 Brushed finish. </w:t>
      </w:r>
    </w:p>
    <w:p w14:paraId="22BB1896"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ab/>
        <w:t>2.3</w:t>
      </w:r>
      <w:r w:rsidRPr="00981394">
        <w:rPr>
          <w:rFonts w:ascii="Arial" w:hAnsi="Arial" w:cs="Arial"/>
          <w:sz w:val="20"/>
          <w:szCs w:val="22"/>
        </w:rPr>
        <w:tab/>
      </w:r>
      <w:r w:rsidRPr="00981394">
        <w:rPr>
          <w:rFonts w:ascii="Arial" w:hAnsi="Arial" w:cs="Arial"/>
          <w:sz w:val="20"/>
          <w:szCs w:val="22"/>
          <w:u w:val="single"/>
        </w:rPr>
        <w:t xml:space="preserve">Glazing </w:t>
      </w:r>
    </w:p>
    <w:p w14:paraId="3C11DF5F" w14:textId="2BE96328" w:rsidR="00E51941" w:rsidRPr="00981394" w:rsidRDefault="007D5CC3" w:rsidP="00981394">
      <w:pPr>
        <w:pStyle w:val="BodyTextIndent"/>
        <w:spacing w:line="276" w:lineRule="auto"/>
        <w:jc w:val="both"/>
        <w:rPr>
          <w:rFonts w:ascii="Arial" w:hAnsi="Arial" w:cs="Arial"/>
          <w:sz w:val="20"/>
          <w:szCs w:val="22"/>
        </w:rPr>
      </w:pPr>
      <w:r w:rsidRPr="00981394">
        <w:rPr>
          <w:rFonts w:ascii="Arial" w:hAnsi="Arial" w:cs="Arial"/>
          <w:sz w:val="20"/>
          <w:szCs w:val="22"/>
        </w:rPr>
        <w:t xml:space="preserve">Windows </w:t>
      </w:r>
      <w:proofErr w:type="gramStart"/>
      <w:r w:rsidRPr="00981394">
        <w:rPr>
          <w:rFonts w:ascii="Arial" w:hAnsi="Arial" w:cs="Arial"/>
          <w:sz w:val="20"/>
          <w:szCs w:val="22"/>
        </w:rPr>
        <w:t>to</w:t>
      </w:r>
      <w:proofErr w:type="gramEnd"/>
      <w:r w:rsidRPr="00981394">
        <w:rPr>
          <w:rFonts w:ascii="Arial" w:hAnsi="Arial" w:cs="Arial"/>
          <w:sz w:val="20"/>
          <w:szCs w:val="22"/>
        </w:rPr>
        <w:t xml:space="preserve"> be glazed with UL listed materials (Specify level) such as acrylic, polycarbonate or glass</w:t>
      </w:r>
      <w:r w:rsidR="00D41CE9" w:rsidRPr="00981394">
        <w:rPr>
          <w:rFonts w:ascii="Arial" w:hAnsi="Arial" w:cs="Arial"/>
          <w:sz w:val="20"/>
          <w:szCs w:val="22"/>
        </w:rPr>
        <w:t>-</w:t>
      </w:r>
      <w:r w:rsidRPr="00981394">
        <w:rPr>
          <w:rFonts w:ascii="Arial" w:hAnsi="Arial" w:cs="Arial"/>
          <w:sz w:val="20"/>
          <w:szCs w:val="22"/>
        </w:rPr>
        <w:t>clad polycarbonate. The bottom panel shall sit flush on the counter and be polished clear so as to not obstruct the view.</w:t>
      </w:r>
    </w:p>
    <w:p w14:paraId="4BDE582C" w14:textId="490E4F7D" w:rsidR="007D5CC3" w:rsidRPr="00981394" w:rsidRDefault="007D5CC3"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330C03F5" w14:textId="7002001A"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ab/>
      </w:r>
      <w:r w:rsidRPr="00981394">
        <w:rPr>
          <w:rFonts w:ascii="Arial" w:hAnsi="Arial" w:cs="Arial"/>
          <w:sz w:val="20"/>
          <w:szCs w:val="22"/>
        </w:rPr>
        <w:tab/>
        <w:t xml:space="preserve">Provide a 2 ¼” thick </w:t>
      </w:r>
      <w:r w:rsidR="00E51941" w:rsidRPr="00981394">
        <w:rPr>
          <w:rFonts w:ascii="Arial" w:hAnsi="Arial" w:cs="Arial"/>
          <w:sz w:val="20"/>
          <w:szCs w:val="22"/>
        </w:rPr>
        <w:t>countertop</w:t>
      </w:r>
      <w:r w:rsidRPr="00981394">
        <w:rPr>
          <w:rFonts w:ascii="Arial" w:hAnsi="Arial" w:cs="Arial"/>
          <w:sz w:val="20"/>
          <w:szCs w:val="22"/>
        </w:rPr>
        <w:t xml:space="preserve"> the full width of the window lined with UL-752</w:t>
      </w:r>
    </w:p>
    <w:p w14:paraId="6F00AA17" w14:textId="5DE74254"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ab/>
      </w:r>
      <w:r w:rsidRPr="00981394">
        <w:rPr>
          <w:rFonts w:ascii="Arial" w:hAnsi="Arial" w:cs="Arial"/>
          <w:sz w:val="20"/>
          <w:szCs w:val="22"/>
        </w:rPr>
        <w:tab/>
        <w:t>ballistic fiberglass</w:t>
      </w:r>
      <w:r w:rsidR="00D41CE9" w:rsidRPr="00981394">
        <w:rPr>
          <w:rFonts w:ascii="Arial" w:hAnsi="Arial" w:cs="Arial"/>
          <w:sz w:val="20"/>
          <w:szCs w:val="22"/>
        </w:rPr>
        <w:t>, the</w:t>
      </w:r>
      <w:r w:rsidRPr="00981394">
        <w:rPr>
          <w:rFonts w:ascii="Arial" w:hAnsi="Arial" w:cs="Arial"/>
          <w:sz w:val="20"/>
          <w:szCs w:val="22"/>
        </w:rPr>
        <w:t xml:space="preserve"> same level of protection as </w:t>
      </w:r>
      <w:r w:rsidR="00E51941" w:rsidRPr="00981394">
        <w:rPr>
          <w:rFonts w:ascii="Arial" w:hAnsi="Arial" w:cs="Arial"/>
          <w:sz w:val="20"/>
          <w:szCs w:val="22"/>
        </w:rPr>
        <w:t>glazing</w:t>
      </w:r>
      <w:r w:rsidRPr="00981394">
        <w:rPr>
          <w:rFonts w:ascii="Arial" w:hAnsi="Arial" w:cs="Arial"/>
          <w:sz w:val="20"/>
          <w:szCs w:val="22"/>
        </w:rPr>
        <w:t>. Counter to have</w:t>
      </w:r>
    </w:p>
    <w:p w14:paraId="078A1744" w14:textId="4834176A" w:rsidR="007D5CC3" w:rsidRPr="00981394" w:rsidRDefault="00D41CE9"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built-</w:t>
      </w:r>
      <w:r w:rsidR="007D5CC3" w:rsidRPr="00981394">
        <w:rPr>
          <w:rFonts w:ascii="Arial" w:hAnsi="Arial" w:cs="Arial"/>
          <w:sz w:val="20"/>
          <w:szCs w:val="22"/>
        </w:rPr>
        <w:t xml:space="preserve">in stainless steel non-ricochet deal tray. </w:t>
      </w:r>
      <w:r w:rsidR="00981394" w:rsidRPr="00981394">
        <w:rPr>
          <w:rFonts w:ascii="Arial" w:hAnsi="Arial" w:cs="Arial"/>
          <w:sz w:val="20"/>
          <w:szCs w:val="22"/>
        </w:rPr>
        <w:t>Countertops</w:t>
      </w:r>
      <w:r w:rsidR="007D5CC3" w:rsidRPr="00981394">
        <w:rPr>
          <w:rFonts w:ascii="Arial" w:hAnsi="Arial" w:cs="Arial"/>
          <w:sz w:val="20"/>
          <w:szCs w:val="22"/>
        </w:rPr>
        <w:t xml:space="preserve"> can be made of wood and finished with plastic laminate or it can be made of stainless steel. </w:t>
      </w:r>
    </w:p>
    <w:p w14:paraId="013EBEFD"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7AB3630" w14:textId="77777777" w:rsidR="007D5CC3" w:rsidRPr="00981394" w:rsidRDefault="00BD06C0" w:rsidP="00981394">
      <w:pPr>
        <w:numPr>
          <w:ilvl w:val="1"/>
          <w:numId w:val="5"/>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 xml:space="preserve">Arched </w:t>
      </w:r>
      <w:r w:rsidR="007D5CC3" w:rsidRPr="00981394">
        <w:rPr>
          <w:rFonts w:ascii="Arial" w:hAnsi="Arial" w:cs="Arial"/>
          <w:sz w:val="20"/>
          <w:szCs w:val="22"/>
          <w:u w:val="single"/>
        </w:rPr>
        <w:t>Voice Port</w:t>
      </w:r>
    </w:p>
    <w:p w14:paraId="0505CF2C" w14:textId="072900FF" w:rsidR="007D5CC3" w:rsidRPr="00981394" w:rsidRDefault="007D5CC3" w:rsidP="00981394">
      <w:pPr>
        <w:tabs>
          <w:tab w:val="left" w:pos="720"/>
          <w:tab w:val="left" w:pos="1260"/>
        </w:tabs>
        <w:spacing w:line="276" w:lineRule="auto"/>
        <w:ind w:left="1275"/>
        <w:jc w:val="both"/>
        <w:rPr>
          <w:rFonts w:ascii="Arial" w:hAnsi="Arial" w:cs="Arial"/>
          <w:sz w:val="20"/>
          <w:szCs w:val="22"/>
        </w:rPr>
      </w:pPr>
      <w:r w:rsidRPr="00981394">
        <w:rPr>
          <w:rFonts w:ascii="Arial" w:hAnsi="Arial" w:cs="Arial"/>
          <w:sz w:val="20"/>
          <w:szCs w:val="22"/>
        </w:rPr>
        <w:t xml:space="preserve">Windows </w:t>
      </w:r>
      <w:r w:rsidR="00981394">
        <w:rPr>
          <w:rFonts w:ascii="Arial" w:hAnsi="Arial" w:cs="Arial"/>
          <w:sz w:val="20"/>
          <w:szCs w:val="22"/>
        </w:rPr>
        <w:t xml:space="preserve">are </w:t>
      </w:r>
      <w:r w:rsidRPr="00981394">
        <w:rPr>
          <w:rFonts w:ascii="Arial" w:hAnsi="Arial" w:cs="Arial"/>
          <w:sz w:val="20"/>
          <w:szCs w:val="22"/>
        </w:rPr>
        <w:t xml:space="preserve">to have natural voice ports for sound transmission. Voice ports must be made of the same glazing material and must overlap the gap in the glazing a minimum of 2”. Voice ports </w:t>
      </w:r>
      <w:r w:rsidR="004D5C43" w:rsidRPr="00981394">
        <w:rPr>
          <w:rFonts w:ascii="Arial" w:hAnsi="Arial" w:cs="Arial"/>
          <w:sz w:val="20"/>
          <w:szCs w:val="22"/>
        </w:rPr>
        <w:t xml:space="preserve">are </w:t>
      </w:r>
      <w:r w:rsidR="00BD06C0" w:rsidRPr="00981394">
        <w:rPr>
          <w:rFonts w:ascii="Arial" w:hAnsi="Arial" w:cs="Arial"/>
          <w:sz w:val="20"/>
          <w:szCs w:val="22"/>
        </w:rPr>
        <w:t>arched and can be any size specified.</w:t>
      </w:r>
      <w:r w:rsidRPr="00981394">
        <w:rPr>
          <w:rFonts w:ascii="Arial" w:hAnsi="Arial" w:cs="Arial"/>
          <w:sz w:val="20"/>
          <w:szCs w:val="22"/>
        </w:rPr>
        <w:t xml:space="preserve"> </w:t>
      </w:r>
    </w:p>
    <w:p w14:paraId="4AE970F9"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71CAB241"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It shall be the responsibility of the contractor to see that any scratches or damage caused in shipping or handling of the products are properly cleaned and touched up.  Store the products in a dry, heated location, covered and ventilated to protect them from damage.  Repair damaged units prior to completion and acceptance of the project or </w:t>
      </w:r>
      <w:r w:rsidR="00E51941" w:rsidRPr="00981394">
        <w:rPr>
          <w:rFonts w:ascii="Arial" w:hAnsi="Arial" w:cs="Arial"/>
          <w:sz w:val="20"/>
          <w:szCs w:val="22"/>
        </w:rPr>
        <w:t>replace them</w:t>
      </w:r>
      <w:r w:rsidRPr="00981394">
        <w:rPr>
          <w:rFonts w:ascii="Arial" w:hAnsi="Arial" w:cs="Arial"/>
          <w:sz w:val="20"/>
          <w:szCs w:val="22"/>
        </w:rPr>
        <w:t xml:space="preserve"> with new, as directed.</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88C8" w14:textId="77777777" w:rsidR="00DC556B" w:rsidRDefault="00DC556B" w:rsidP="005411C2">
      <w:r>
        <w:separator/>
      </w:r>
    </w:p>
  </w:endnote>
  <w:endnote w:type="continuationSeparator" w:id="0">
    <w:p w14:paraId="01537CE2" w14:textId="77777777" w:rsidR="00DC556B" w:rsidRDefault="00DC556B"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9AED" w14:textId="77777777" w:rsidR="00DC556B" w:rsidRDefault="00DC556B" w:rsidP="005411C2">
      <w:r>
        <w:separator/>
      </w:r>
    </w:p>
  </w:footnote>
  <w:footnote w:type="continuationSeparator" w:id="0">
    <w:p w14:paraId="6307A647" w14:textId="77777777" w:rsidR="00DC556B" w:rsidRDefault="00DC556B"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23D30874" w:rsidR="005411C2" w:rsidRPr="00E51941" w:rsidRDefault="00000000" w:rsidP="005411C2">
    <w:pPr>
      <w:pStyle w:val="Header"/>
      <w:tabs>
        <w:tab w:val="clear" w:pos="4680"/>
        <w:tab w:val="clear" w:pos="9360"/>
      </w:tabs>
      <w:jc w:val="right"/>
      <w:rPr>
        <w:sz w:val="18"/>
        <w:szCs w:val="18"/>
      </w:rPr>
    </w:pPr>
    <w:r>
      <w:rPr>
        <w:noProof/>
      </w:rPr>
      <w:pict w14:anchorId="7A883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pt;width:223.1pt;height:53.5pt;z-index:1;mso-position-horizontal-relative:text;mso-position-vertical-relative:text">
          <v:imagedata r:id="rId1" o:title=""/>
          <w10:wrap type="square"/>
        </v:shape>
      </w:pict>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CE9"/>
    <w:rsid w:val="001F2A57"/>
    <w:rsid w:val="004322B3"/>
    <w:rsid w:val="004B3B7A"/>
    <w:rsid w:val="004C3FC8"/>
    <w:rsid w:val="004D5C43"/>
    <w:rsid w:val="005411C2"/>
    <w:rsid w:val="007850BE"/>
    <w:rsid w:val="007D5CC3"/>
    <w:rsid w:val="00981394"/>
    <w:rsid w:val="00BD06C0"/>
    <w:rsid w:val="00BD4EBE"/>
    <w:rsid w:val="00D41CE9"/>
    <w:rsid w:val="00D51C6E"/>
    <w:rsid w:val="00D628DD"/>
    <w:rsid w:val="00DC556B"/>
    <w:rsid w:val="00E5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etgu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STANDARDS AND SPECIFICATIONS FOR </vt:lpstr>
    </vt:vector>
  </TitlesOfParts>
  <Company>Bullet Guard</Company>
  <LinksUpToDate>false</LinksUpToDate>
  <CharactersWithSpaces>3630</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 </dc:title>
  <dc:subject/>
  <dc:creator>receptionist</dc:creator>
  <cp:keywords/>
  <dc:description/>
  <cp:lastModifiedBy>Paul E. La Vigne</cp:lastModifiedBy>
  <cp:revision>3</cp:revision>
  <cp:lastPrinted>2013-09-24T14:39:00Z</cp:lastPrinted>
  <dcterms:created xsi:type="dcterms:W3CDTF">2023-02-16T17:49:00Z</dcterms:created>
  <dcterms:modified xsi:type="dcterms:W3CDTF">2023-02-16T18:39:00Z</dcterms:modified>
</cp:coreProperties>
</file>